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1EB9" w14:textId="6B3F6D93" w:rsidR="003F5690" w:rsidRP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Chihuahua, Chih., </w:t>
      </w:r>
      <w:r w:rsidR="00F13C49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 </w:t>
      </w:r>
      <w:r w:rsidR="00F13C49" w:rsidRPr="00A70493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A70493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="00CC2AF1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de </w:t>
      </w:r>
      <w:r w:rsidR="00F13C49" w:rsidRPr="00A70493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A70493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de 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7B127E36" w14:textId="4C988806" w:rsid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No. Oficio: SFP-</w:t>
      </w:r>
      <w:r w:rsidR="00F13C49" w:rsidRPr="00A70493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******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/202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098F0BFE" w14:textId="77777777" w:rsidR="005A16B4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Asunto: Solicitud </w:t>
      </w:r>
      <w:r w:rsidR="005A16B4">
        <w:rPr>
          <w:rFonts w:ascii="Public Sans" w:eastAsia="Calibri" w:hAnsi="Public Sans" w:cs="Arial"/>
          <w:b/>
          <w:bCs/>
          <w:sz w:val="21"/>
          <w:szCs w:val="21"/>
          <w:lang w:val="es-ES"/>
        </w:rPr>
        <w:t>declaratoria</w:t>
      </w:r>
    </w:p>
    <w:p w14:paraId="2950CF42" w14:textId="3CB5FBC1" w:rsidR="00F13C49" w:rsidRDefault="005A16B4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de </w:t>
      </w:r>
      <w:r w:rsidR="0076207B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incompetencia parcial </w:t>
      </w:r>
    </w:p>
    <w:p w14:paraId="7F9F8A2B" w14:textId="77777777" w:rsidR="008D5199" w:rsidRDefault="008D5199" w:rsidP="008D5199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  <w:bookmarkStart w:id="0" w:name="_Hlk160788327"/>
    </w:p>
    <w:bookmarkEnd w:id="0"/>
    <w:p w14:paraId="14E63C06" w14:textId="77777777" w:rsidR="002A7474" w:rsidRDefault="002A7474" w:rsidP="00B85F27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63ED410A" w14:textId="77777777" w:rsidR="000F0CA1" w:rsidRDefault="000F0CA1" w:rsidP="00426F1B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4D3E0585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LIC. MARÍA FERNANDA ALANÍS RONQUILLO</w:t>
      </w:r>
    </w:p>
    <w:p w14:paraId="322B1D1B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 xml:space="preserve">DIRECTORA GENERAL DE TRANSPARENCIA Y GESTIÓN DE LA INFORMACIÓN </w:t>
      </w:r>
    </w:p>
    <w:p w14:paraId="5F669A81" w14:textId="4A40C750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GUBERNAMENTAL Y RESPONSABLE DE LA UNIDAD DE TRANSPARENCIA</w:t>
      </w:r>
    </w:p>
    <w:p w14:paraId="596F3C71" w14:textId="189D7CCD" w:rsidR="003F5690" w:rsidRPr="00F13C49" w:rsidRDefault="003F5690" w:rsidP="003F5690">
      <w:pPr>
        <w:ind w:right="-142"/>
        <w:rPr>
          <w:rFonts w:ascii="Public Sans" w:eastAsia="Calibri" w:hAnsi="Public Sans" w:cs="Times New Roman"/>
          <w:b/>
          <w:bCs/>
        </w:rPr>
      </w:pPr>
      <w:r w:rsidRPr="00F13C49">
        <w:rPr>
          <w:rFonts w:ascii="Public Sans" w:eastAsia="Calibri" w:hAnsi="Public Sans" w:cs="Arial"/>
          <w:b/>
          <w:bCs/>
        </w:rPr>
        <w:t>P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R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S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N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T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E.</w:t>
      </w:r>
    </w:p>
    <w:p w14:paraId="7AE73C8C" w14:textId="77777777" w:rsidR="00FD6EAE" w:rsidRDefault="00FD6EAE" w:rsidP="00FD6EAE">
      <w:pPr>
        <w:spacing w:line="276" w:lineRule="auto"/>
        <w:jc w:val="both"/>
        <w:rPr>
          <w:rFonts w:ascii="Public Sans" w:eastAsia="Calibri" w:hAnsi="Public Sans" w:cs="Arial"/>
          <w:sz w:val="22"/>
          <w:szCs w:val="22"/>
        </w:rPr>
      </w:pPr>
    </w:p>
    <w:p w14:paraId="6220E952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  <w:b/>
          <w:bCs/>
        </w:rPr>
      </w:pPr>
      <w:r w:rsidRPr="003C6346">
        <w:rPr>
          <w:rFonts w:ascii="Public Sans" w:eastAsia="Calibri" w:hAnsi="Public Sans" w:cs="Arial"/>
        </w:rPr>
        <w:t xml:space="preserve">Me refiero a la Solicitud de Acceso a la Información de folio </w:t>
      </w:r>
      <w:r w:rsidRPr="00A70493">
        <w:rPr>
          <w:rFonts w:ascii="Public Sans" w:eastAsia="Calibri" w:hAnsi="Public Sans" w:cs="Arial"/>
          <w:highlight w:val="yellow"/>
        </w:rPr>
        <w:t>*************</w:t>
      </w:r>
      <w:r w:rsidRPr="003C6346">
        <w:rPr>
          <w:rFonts w:ascii="Public Sans" w:eastAsia="Calibri" w:hAnsi="Public Sans" w:cs="Arial"/>
        </w:rPr>
        <w:t>, para efecto de informar lo siguiente:</w:t>
      </w:r>
    </w:p>
    <w:p w14:paraId="23A3CB8D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5DC4B51D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t xml:space="preserve">Derivado del contenido de la solicitud de mérito, esta </w:t>
      </w:r>
      <w:r>
        <w:rPr>
          <w:rFonts w:ascii="Public Sans" w:eastAsia="Calibri" w:hAnsi="Public Sans" w:cs="Arial"/>
        </w:rPr>
        <w:t>(</w:t>
      </w:r>
      <w:r w:rsidRPr="00A70493">
        <w:rPr>
          <w:rFonts w:ascii="Public Sans" w:eastAsia="Calibri" w:hAnsi="Public Sans" w:cs="Arial"/>
          <w:highlight w:val="yellow"/>
        </w:rPr>
        <w:t xml:space="preserve">Mencionar la unidad </w:t>
      </w:r>
      <w:proofErr w:type="gramStart"/>
      <w:r w:rsidRPr="00A70493">
        <w:rPr>
          <w:rFonts w:ascii="Public Sans" w:eastAsia="Calibri" w:hAnsi="Public Sans" w:cs="Arial"/>
          <w:highlight w:val="yellow"/>
        </w:rPr>
        <w:t>administrativa</w:t>
      </w:r>
      <w:r>
        <w:rPr>
          <w:rFonts w:ascii="Public Sans" w:eastAsia="Calibri" w:hAnsi="Public Sans" w:cs="Arial"/>
        </w:rPr>
        <w:t xml:space="preserve">) </w:t>
      </w:r>
      <w:r w:rsidRPr="003C6346">
        <w:rPr>
          <w:rFonts w:ascii="Public Sans" w:eastAsia="Calibri" w:hAnsi="Public Sans" w:cs="Arial"/>
        </w:rPr>
        <w:t xml:space="preserve"> advierte</w:t>
      </w:r>
      <w:proofErr w:type="gramEnd"/>
      <w:r w:rsidRPr="003C6346">
        <w:rPr>
          <w:rFonts w:ascii="Public Sans" w:eastAsia="Calibri" w:hAnsi="Public Sans" w:cs="Arial"/>
        </w:rPr>
        <w:t xml:space="preserve"> que </w:t>
      </w:r>
      <w:r>
        <w:rPr>
          <w:rFonts w:ascii="Public Sans" w:eastAsia="Calibri" w:hAnsi="Public Sans" w:cs="Arial"/>
        </w:rPr>
        <w:t xml:space="preserve">el requirente de información </w:t>
      </w:r>
      <w:r w:rsidRPr="003C6346">
        <w:rPr>
          <w:rFonts w:ascii="Public Sans" w:eastAsia="Calibri" w:hAnsi="Public Sans" w:cs="Arial"/>
        </w:rPr>
        <w:t>manifiesta el siguiente punto en su solicitud:</w:t>
      </w:r>
    </w:p>
    <w:p w14:paraId="5E651205" w14:textId="77777777" w:rsidR="000127E9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667126A7" w14:textId="4ECC9ADB" w:rsidR="000127E9" w:rsidRPr="00377F2C" w:rsidRDefault="000127E9" w:rsidP="000127E9">
      <w:pPr>
        <w:spacing w:line="276" w:lineRule="auto"/>
        <w:jc w:val="both"/>
        <w:rPr>
          <w:rFonts w:ascii="Public Sans" w:eastAsia="Calibri" w:hAnsi="Public Sans" w:cs="Arial"/>
          <w:sz w:val="20"/>
          <w:szCs w:val="20"/>
        </w:rPr>
      </w:pPr>
      <w:r w:rsidRPr="00A70493">
        <w:rPr>
          <w:rFonts w:ascii="Public Sans" w:eastAsia="Calibri" w:hAnsi="Public Sans" w:cs="Arial"/>
          <w:b/>
          <w:bCs/>
          <w:sz w:val="20"/>
          <w:szCs w:val="20"/>
          <w:highlight w:val="yellow"/>
        </w:rPr>
        <w:t>Nota:</w:t>
      </w:r>
      <w:r w:rsidRPr="00A70493">
        <w:rPr>
          <w:rFonts w:ascii="Public Sans" w:eastAsia="Calibri" w:hAnsi="Public Sans" w:cs="Arial"/>
          <w:sz w:val="20"/>
          <w:szCs w:val="20"/>
          <w:highlight w:val="yellow"/>
        </w:rPr>
        <w:t xml:space="preserve"> A continuación del contenido de la solicitud se debe transcribir la parte relativa en la cual se advierte la cuestión de incompetencia, tal y como a continuación se realiza, en la cual se advierte que esa parte de la solicitud </w:t>
      </w:r>
      <w:r w:rsidR="005A16B4" w:rsidRPr="00A70493">
        <w:rPr>
          <w:rFonts w:ascii="Public Sans" w:eastAsia="Calibri" w:hAnsi="Public Sans" w:cs="Arial"/>
          <w:sz w:val="20"/>
          <w:szCs w:val="20"/>
          <w:highlight w:val="yellow"/>
        </w:rPr>
        <w:t xml:space="preserve">que en este caso en particular resulta que </w:t>
      </w:r>
      <w:r w:rsidRPr="00A70493">
        <w:rPr>
          <w:rFonts w:ascii="Public Sans" w:eastAsia="Calibri" w:hAnsi="Public Sans" w:cs="Arial"/>
          <w:sz w:val="20"/>
          <w:szCs w:val="20"/>
          <w:highlight w:val="yellow"/>
        </w:rPr>
        <w:t>es competencia municipal.</w:t>
      </w:r>
    </w:p>
    <w:p w14:paraId="1DE4B088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>
        <w:rPr>
          <w:rFonts w:ascii="Public Sans" w:eastAsia="Calibri" w:hAnsi="Public Sans" w:cs="Arial"/>
        </w:rPr>
        <w:t xml:space="preserve"> </w:t>
      </w:r>
    </w:p>
    <w:p w14:paraId="69551F68" w14:textId="77777777" w:rsidR="000127E9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t>“</w:t>
      </w:r>
      <w:r w:rsidRPr="003C6346">
        <w:rPr>
          <w:rFonts w:ascii="Public Sans" w:eastAsia="Calibri" w:hAnsi="Public Sans" w:cs="Arial"/>
          <w:i/>
          <w:iCs/>
        </w:rPr>
        <w:t xml:space="preserve">[...] </w:t>
      </w:r>
      <w:r w:rsidRPr="00A70493">
        <w:rPr>
          <w:rFonts w:ascii="Public Sans" w:eastAsia="Calibri" w:hAnsi="Public Sans" w:cs="Arial"/>
          <w:i/>
          <w:iCs/>
          <w:highlight w:val="yellow"/>
        </w:rPr>
        <w:t>y qué acciones se están haciendo en contra de los policías municipales que le regresaron el arma sin seguir los protocolos de actuación adecuados</w:t>
      </w:r>
      <w:r w:rsidRPr="003C6346">
        <w:rPr>
          <w:rFonts w:ascii="Public Sans" w:eastAsia="Calibri" w:hAnsi="Public Sans" w:cs="Arial"/>
          <w:i/>
          <w:iCs/>
        </w:rPr>
        <w:t>.</w:t>
      </w:r>
      <w:r w:rsidRPr="003C6346">
        <w:rPr>
          <w:rFonts w:ascii="Public Sans" w:eastAsia="Calibri" w:hAnsi="Public Sans" w:cs="Arial"/>
        </w:rPr>
        <w:t>”</w:t>
      </w:r>
      <w:r>
        <w:rPr>
          <w:rFonts w:ascii="Public Sans" w:eastAsia="Calibri" w:hAnsi="Public Sans" w:cs="Arial"/>
        </w:rPr>
        <w:t xml:space="preserve"> </w:t>
      </w:r>
    </w:p>
    <w:p w14:paraId="01A2B5FF" w14:textId="77777777" w:rsidR="000127E9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5A2CA99D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>
        <w:rPr>
          <w:rFonts w:ascii="Public Sans" w:eastAsia="Calibri" w:hAnsi="Public Sans" w:cs="Arial"/>
        </w:rPr>
        <w:t>De lo antes señalado, con toda claridad de advierte que dicha</w:t>
      </w:r>
      <w:r w:rsidRPr="003C6346">
        <w:rPr>
          <w:rFonts w:ascii="Public Sans" w:eastAsia="Calibri" w:hAnsi="Public Sans" w:cs="Arial"/>
        </w:rPr>
        <w:t xml:space="preserve"> información se encuentra fuera de la esfera competencial de esta Secretaría; pues, de la lectura de las atribuciones conferidas en la Ley Orgánica del Poder Ejecutivo del Estado de Chihuahua y del Reglamento Interior de la Secretaría de la Función Pública, </w:t>
      </w:r>
      <w:r w:rsidRPr="00A70493">
        <w:rPr>
          <w:rFonts w:ascii="Public Sans" w:eastAsia="Calibri" w:hAnsi="Public Sans" w:cs="Arial"/>
          <w:highlight w:val="yellow"/>
        </w:rPr>
        <w:t>no se advierte que se deba conocer e investigar los actos u omisiones de las personas servidoras públicas diferentes a las adscritas a la Administración Pública Estatal y que pudieran ser causa de responsabilidad administrativa.</w:t>
      </w:r>
    </w:p>
    <w:p w14:paraId="7E73CBCB" w14:textId="77777777" w:rsidR="000127E9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3B5E154B" w14:textId="77777777" w:rsidR="000127E9" w:rsidRPr="00377F2C" w:rsidRDefault="000127E9" w:rsidP="000127E9">
      <w:pPr>
        <w:spacing w:line="276" w:lineRule="auto"/>
        <w:jc w:val="both"/>
        <w:rPr>
          <w:rFonts w:ascii="Public Sans" w:eastAsia="Calibri" w:hAnsi="Public Sans" w:cs="Arial"/>
          <w:sz w:val="20"/>
          <w:szCs w:val="20"/>
        </w:rPr>
      </w:pPr>
      <w:r w:rsidRPr="00A70493">
        <w:rPr>
          <w:rFonts w:ascii="Public Sans" w:eastAsia="Calibri" w:hAnsi="Public Sans" w:cs="Arial"/>
          <w:b/>
          <w:bCs/>
          <w:sz w:val="20"/>
          <w:szCs w:val="20"/>
          <w:highlight w:val="yellow"/>
        </w:rPr>
        <w:t>Nota:</w:t>
      </w:r>
      <w:r w:rsidRPr="00A70493">
        <w:rPr>
          <w:rFonts w:ascii="Public Sans" w:eastAsia="Calibri" w:hAnsi="Public Sans" w:cs="Arial"/>
          <w:sz w:val="20"/>
          <w:szCs w:val="20"/>
          <w:highlight w:val="yellow"/>
        </w:rPr>
        <w:t xml:space="preserve"> A </w:t>
      </w:r>
      <w:proofErr w:type="gramStart"/>
      <w:r w:rsidRPr="00A70493">
        <w:rPr>
          <w:rFonts w:ascii="Public Sans" w:eastAsia="Calibri" w:hAnsi="Public Sans" w:cs="Arial"/>
          <w:sz w:val="20"/>
          <w:szCs w:val="20"/>
          <w:highlight w:val="yellow"/>
        </w:rPr>
        <w:t>continuación</w:t>
      </w:r>
      <w:proofErr w:type="gramEnd"/>
      <w:r w:rsidRPr="00A70493">
        <w:rPr>
          <w:rFonts w:ascii="Public Sans" w:eastAsia="Calibri" w:hAnsi="Public Sans" w:cs="Arial"/>
          <w:sz w:val="20"/>
          <w:szCs w:val="20"/>
          <w:highlight w:val="yellow"/>
        </w:rPr>
        <w:t xml:space="preserve"> se transcribe la argumentativa que da sustento a la incompetencia parcial que se platea.</w:t>
      </w:r>
    </w:p>
    <w:p w14:paraId="2363C37A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  <w:sz w:val="20"/>
          <w:szCs w:val="20"/>
        </w:rPr>
      </w:pPr>
    </w:p>
    <w:p w14:paraId="454EE202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t xml:space="preserve">En otras palabras, a esta Dependencia, únicamente le compete investigación los hechos que pudieran constituir una responsabilidad administrativa, siempre y cuando se trate de personas servidoras públicas del Poder Ejecutivo del Estado de Chihuahua. </w:t>
      </w:r>
      <w:r w:rsidRPr="00A70493">
        <w:rPr>
          <w:rFonts w:ascii="Public Sans" w:eastAsia="Calibri" w:hAnsi="Public Sans" w:cs="Arial"/>
          <w:highlight w:val="yellow"/>
        </w:rPr>
        <w:t>En consecuencia, el personal de las corporaciones policiacas a nivel municipal, se encuentra bajo la ‘jurisdicción’ del Órgano Interno de Control del ayuntamiento que resulte competente; en este caso, el del Ayuntamiento del Municipio de Chihuahua.</w:t>
      </w:r>
    </w:p>
    <w:p w14:paraId="7E413386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lastRenderedPageBreak/>
        <w:t xml:space="preserve">Luego, en virtud de salvaguardar el derecho humano de acceso a la información de la persona solicitante, y siguiendo el orden de ideas vertido en la petición de mérito; </w:t>
      </w:r>
      <w:r w:rsidRPr="00A70493">
        <w:rPr>
          <w:rFonts w:ascii="Public Sans" w:eastAsia="Calibri" w:hAnsi="Public Sans" w:cs="Arial"/>
          <w:highlight w:val="yellow"/>
        </w:rPr>
        <w:t xml:space="preserve">esta Unidad Administrativa realizó una búsqueda en el Reglamento Interior del Municipio de Chihuahua, con última reforma publicada en la Gaceta Municipal No. 328-II, en fecha 02 de octubre de 2023 (disponible en </w:t>
      </w:r>
      <w:hyperlink r:id="rId8" w:history="1">
        <w:r w:rsidRPr="00A70493">
          <w:rPr>
            <w:rStyle w:val="Hipervnculo"/>
            <w:rFonts w:ascii="Public Sans" w:eastAsia="Calibri" w:hAnsi="Public Sans" w:cs="Arial"/>
            <w:highlight w:val="yellow"/>
          </w:rPr>
          <w:t>https://www.municipiochihuahua.gob.mx/SHA/Normatividad</w:t>
        </w:r>
      </w:hyperlink>
      <w:r w:rsidRPr="00A70493">
        <w:rPr>
          <w:rFonts w:ascii="Public Sans" w:eastAsia="Calibri" w:hAnsi="Public Sans" w:cs="Arial"/>
          <w:highlight w:val="yellow"/>
        </w:rPr>
        <w:t>), a fin de verificar que la competencia de lo solicitado correspondiera, en efecto, al Órgano Interno de Control del referido Ayuntamiento.</w:t>
      </w:r>
    </w:p>
    <w:p w14:paraId="2662A2DA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310E52BF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highlight w:val="yellow"/>
        </w:rPr>
      </w:pPr>
      <w:r w:rsidRPr="00A70493">
        <w:rPr>
          <w:rFonts w:ascii="Public Sans" w:eastAsia="Calibri" w:hAnsi="Public Sans" w:cs="Arial"/>
          <w:highlight w:val="yellow"/>
        </w:rPr>
        <w:t>Lo anterior, corroborándose en la lectura de los artículos 1 fracción II, 28 fracción X, 68 fracción IV y 100 fracción XXX, que a la letra rezan:</w:t>
      </w:r>
    </w:p>
    <w:p w14:paraId="0D894327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highlight w:val="yellow"/>
        </w:rPr>
      </w:pPr>
    </w:p>
    <w:p w14:paraId="65E1F9DF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Artículo 1.</w:t>
      </w:r>
      <w:r w:rsidRPr="00A70493">
        <w:rPr>
          <w:rFonts w:ascii="Public Sans" w:eastAsia="Calibri" w:hAnsi="Public Sans" w:cs="Arial"/>
          <w:i/>
          <w:iCs/>
          <w:highlight w:val="yellow"/>
        </w:rPr>
        <w:t xml:space="preserve"> El presente ordenamiento es de orden público e interés social y tiene por objeto regular:</w:t>
      </w:r>
    </w:p>
    <w:p w14:paraId="293BBD86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b/>
          <w:bCs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[...]</w:t>
      </w:r>
    </w:p>
    <w:p w14:paraId="73E28B87" w14:textId="77777777" w:rsidR="000127E9" w:rsidRPr="00A70493" w:rsidRDefault="000127E9" w:rsidP="000127E9">
      <w:pPr>
        <w:numPr>
          <w:ilvl w:val="0"/>
          <w:numId w:val="18"/>
        </w:num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  <w:r w:rsidRPr="00A70493">
        <w:rPr>
          <w:rFonts w:ascii="Public Sans" w:eastAsia="Calibri" w:hAnsi="Public Sans" w:cs="Arial"/>
          <w:i/>
          <w:iCs/>
          <w:highlight w:val="yellow"/>
        </w:rPr>
        <w:t>La estructura, organización, funcionamiento y control de la administración pública municipal, centralizada y descentralizada;</w:t>
      </w:r>
    </w:p>
    <w:p w14:paraId="550FAFAE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b/>
          <w:bCs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[...]</w:t>
      </w:r>
    </w:p>
    <w:p w14:paraId="55D386F1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</w:p>
    <w:p w14:paraId="2EECB87F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Artículo 28.</w:t>
      </w:r>
      <w:r w:rsidRPr="00A70493">
        <w:rPr>
          <w:rFonts w:ascii="Public Sans" w:eastAsia="Calibri" w:hAnsi="Public Sans" w:cs="Arial"/>
          <w:i/>
          <w:iCs/>
          <w:highlight w:val="yellow"/>
        </w:rPr>
        <w:t xml:space="preserve"> Para el estudio, planeación y despacho de los asuntos del orden administrativo, el </w:t>
      </w:r>
      <w:proofErr w:type="gramStart"/>
      <w:r w:rsidRPr="00A70493">
        <w:rPr>
          <w:rFonts w:ascii="Public Sans" w:eastAsia="Calibri" w:hAnsi="Public Sans" w:cs="Arial"/>
          <w:i/>
          <w:iCs/>
          <w:highlight w:val="yellow"/>
        </w:rPr>
        <w:t>Presidente</w:t>
      </w:r>
      <w:proofErr w:type="gramEnd"/>
      <w:r w:rsidRPr="00A70493">
        <w:rPr>
          <w:rFonts w:ascii="Public Sans" w:eastAsia="Calibri" w:hAnsi="Public Sans" w:cs="Arial"/>
          <w:i/>
          <w:iCs/>
          <w:highlight w:val="yellow"/>
        </w:rPr>
        <w:t xml:space="preserve"> Municipal contará además de las dependencias señaladas en las fracciones I, II y III del artículo 5 de este Reglamento, con las siguientes direcciones:</w:t>
      </w:r>
    </w:p>
    <w:p w14:paraId="4A6EBE06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b/>
          <w:bCs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[...]</w:t>
      </w:r>
    </w:p>
    <w:p w14:paraId="157CB683" w14:textId="77777777" w:rsidR="000127E9" w:rsidRPr="00A70493" w:rsidRDefault="000127E9" w:rsidP="000127E9">
      <w:pPr>
        <w:numPr>
          <w:ilvl w:val="0"/>
          <w:numId w:val="19"/>
        </w:num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  <w:r w:rsidRPr="00A70493">
        <w:rPr>
          <w:rFonts w:ascii="Public Sans" w:eastAsia="Calibri" w:hAnsi="Public Sans" w:cs="Arial"/>
          <w:i/>
          <w:iCs/>
          <w:highlight w:val="yellow"/>
        </w:rPr>
        <w:t>De Órgano Interno de Control; [...]</w:t>
      </w:r>
    </w:p>
    <w:p w14:paraId="6C727A42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</w:p>
    <w:p w14:paraId="7EC9186E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Artículo 68.</w:t>
      </w:r>
      <w:r w:rsidRPr="00A70493">
        <w:rPr>
          <w:rFonts w:ascii="Public Sans" w:eastAsia="Calibri" w:hAnsi="Public Sans" w:cs="Arial"/>
          <w:i/>
          <w:iCs/>
          <w:highlight w:val="yellow"/>
        </w:rPr>
        <w:t xml:space="preserve"> Compete a la Subdirección Jurídica:</w:t>
      </w:r>
    </w:p>
    <w:p w14:paraId="03BB27E1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b/>
          <w:bCs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[...]</w:t>
      </w:r>
    </w:p>
    <w:p w14:paraId="3DF59637" w14:textId="77777777" w:rsidR="000127E9" w:rsidRPr="00A70493" w:rsidRDefault="000127E9" w:rsidP="000127E9">
      <w:pPr>
        <w:numPr>
          <w:ilvl w:val="0"/>
          <w:numId w:val="20"/>
        </w:num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  <w:r w:rsidRPr="00A70493">
        <w:rPr>
          <w:rFonts w:ascii="Public Sans" w:eastAsia="Calibri" w:hAnsi="Public Sans" w:cs="Arial"/>
          <w:i/>
          <w:iCs/>
          <w:highlight w:val="yellow"/>
        </w:rPr>
        <w:t>Dar vista al Órgano Interno de Control sobre las posibles faltas administrativas cometidas por elementos policiales con motivo de su actuación. [...]</w:t>
      </w:r>
    </w:p>
    <w:p w14:paraId="11908DA8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</w:p>
    <w:p w14:paraId="7197190E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Artículo 100.-</w:t>
      </w:r>
      <w:r w:rsidRPr="00A70493">
        <w:rPr>
          <w:rFonts w:ascii="Public Sans" w:eastAsia="Calibri" w:hAnsi="Public Sans" w:cs="Arial"/>
          <w:i/>
          <w:iCs/>
          <w:highlight w:val="yellow"/>
        </w:rPr>
        <w:t xml:space="preserve"> La persona que ostente la titularidad del Órgano Interno de Control tendrá las facultades siguientes:</w:t>
      </w:r>
    </w:p>
    <w:p w14:paraId="4CA922AD" w14:textId="77777777" w:rsidR="000127E9" w:rsidRPr="00A70493" w:rsidRDefault="000127E9" w:rsidP="000127E9">
      <w:pPr>
        <w:spacing w:line="276" w:lineRule="auto"/>
        <w:jc w:val="both"/>
        <w:rPr>
          <w:rFonts w:ascii="Public Sans" w:eastAsia="Calibri" w:hAnsi="Public Sans" w:cs="Arial"/>
          <w:b/>
          <w:bCs/>
          <w:i/>
          <w:iCs/>
          <w:highlight w:val="yellow"/>
        </w:rPr>
      </w:pPr>
      <w:r w:rsidRPr="00A70493">
        <w:rPr>
          <w:rFonts w:ascii="Public Sans" w:eastAsia="Calibri" w:hAnsi="Public Sans" w:cs="Arial"/>
          <w:b/>
          <w:bCs/>
          <w:i/>
          <w:iCs/>
          <w:highlight w:val="yellow"/>
        </w:rPr>
        <w:t>[...]</w:t>
      </w:r>
    </w:p>
    <w:p w14:paraId="0FA4129A" w14:textId="77777777" w:rsidR="000127E9" w:rsidRPr="00A70493" w:rsidRDefault="000127E9" w:rsidP="000127E9">
      <w:pPr>
        <w:numPr>
          <w:ilvl w:val="0"/>
          <w:numId w:val="21"/>
        </w:numPr>
        <w:spacing w:line="276" w:lineRule="auto"/>
        <w:jc w:val="both"/>
        <w:rPr>
          <w:rFonts w:ascii="Public Sans" w:eastAsia="Calibri" w:hAnsi="Public Sans" w:cs="Arial"/>
          <w:highlight w:val="yellow"/>
        </w:rPr>
      </w:pPr>
      <w:r w:rsidRPr="00A70493">
        <w:rPr>
          <w:rFonts w:ascii="Public Sans" w:eastAsia="Calibri" w:hAnsi="Public Sans" w:cs="Arial"/>
          <w:i/>
          <w:iCs/>
          <w:highlight w:val="yellow"/>
        </w:rPr>
        <w:t>Recibir las denuncias que se formulen por posibles actos u omisiones que pudieran constituir Faltas Administrativas cometidas por personas servidoras públicas o Particulares por conductas sancionables, de conformidad con la Ley General de Responsabilidades Administrativas; investigar y calificar las faltas administrativas que detecte, así como llevar a cabo las acciones que procedan conforme a la citada Ley; [...]</w:t>
      </w:r>
    </w:p>
    <w:p w14:paraId="246A69ED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lastRenderedPageBreak/>
        <w:t xml:space="preserve">Así pues, resulta claro que esta Secretaría de la Función Pública, no es competente para responder el punto relativo a la información </w:t>
      </w:r>
      <w:r w:rsidRPr="00A70493">
        <w:rPr>
          <w:rFonts w:ascii="Public Sans" w:eastAsia="Calibri" w:hAnsi="Public Sans" w:cs="Arial"/>
          <w:highlight w:val="yellow"/>
        </w:rPr>
        <w:t>de las acciones seguidas que pudieran llevarse a cabo en contra de elementos de las corporaciones policiacas del Ayuntamiento del Municipio de Chihuahua.</w:t>
      </w:r>
    </w:p>
    <w:p w14:paraId="216E639E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22F078EB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t>En ese sentido, respetuosamente se solicita que, a través de la Dirección General a su digno cargo, sea remitida al Comité de Transparencia de esta Secretaría de la Función Pública, la presente Declaratoria de Incompetencia, para consideración de este y su eventual aprobación.</w:t>
      </w:r>
    </w:p>
    <w:p w14:paraId="7E5BA503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1CD65589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t>Todo lo previamente dicho, en términos de los artículos 36 fracción VIII, y 59 párrafo segundo, de la Ley de Transparencia y Acceso de la Información Pública del Estado de Chihuahua, en correlación con el diverso 136 segundo párrafo, de la Ley General de Transparencia y Acceso a la Información Pública; ello, a fin de estar en aptitud de brindar una respuesta conforme a derecho.</w:t>
      </w:r>
    </w:p>
    <w:p w14:paraId="659C1C8B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</w:p>
    <w:p w14:paraId="30FFEE0B" w14:textId="77777777" w:rsidR="000127E9" w:rsidRPr="003C6346" w:rsidRDefault="000127E9" w:rsidP="000127E9">
      <w:pPr>
        <w:spacing w:line="276" w:lineRule="auto"/>
        <w:jc w:val="both"/>
        <w:rPr>
          <w:rFonts w:ascii="Public Sans" w:eastAsia="Calibri" w:hAnsi="Public Sans" w:cs="Arial"/>
        </w:rPr>
      </w:pPr>
      <w:r w:rsidRPr="003C6346">
        <w:rPr>
          <w:rFonts w:ascii="Public Sans" w:eastAsia="Calibri" w:hAnsi="Public Sans" w:cs="Arial"/>
        </w:rPr>
        <w:t xml:space="preserve">Sin otro particular, le envío un cordial saludo, quedando atento para la notificación de la resolución por parte del Comité de Transparencia de esta Secretaría de la Función Pública. </w:t>
      </w:r>
    </w:p>
    <w:p w14:paraId="116941A5" w14:textId="77777777" w:rsidR="000127E9" w:rsidRDefault="000127E9" w:rsidP="00FD6EAE">
      <w:pPr>
        <w:spacing w:line="276" w:lineRule="auto"/>
        <w:jc w:val="both"/>
        <w:rPr>
          <w:rFonts w:ascii="Public Sans" w:hAnsi="Public Sans"/>
        </w:rPr>
      </w:pPr>
    </w:p>
    <w:p w14:paraId="48DA9488" w14:textId="77777777" w:rsidR="00FD6EAE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Sin otro particular, aprovecho para enviarle un cordial saludo. </w:t>
      </w:r>
    </w:p>
    <w:p w14:paraId="0480FD4D" w14:textId="77777777" w:rsidR="00FD6EAE" w:rsidRPr="00CB404C" w:rsidRDefault="00FD6EAE" w:rsidP="00FD6EAE">
      <w:pPr>
        <w:jc w:val="both"/>
        <w:rPr>
          <w:rFonts w:ascii="Public Sans" w:hAnsi="Public Sans"/>
        </w:rPr>
      </w:pPr>
    </w:p>
    <w:p w14:paraId="638228EB" w14:textId="77777777" w:rsidR="00FD6EAE" w:rsidRPr="00CB404C" w:rsidRDefault="00FD6EAE" w:rsidP="00FD6EAE">
      <w:pPr>
        <w:jc w:val="both"/>
        <w:rPr>
          <w:rFonts w:ascii="Public Sans" w:hAnsi="Public Sans"/>
          <w:b/>
          <w:bCs/>
        </w:rPr>
      </w:pPr>
      <w:r w:rsidRPr="00CB404C">
        <w:rPr>
          <w:rFonts w:ascii="Public Sans" w:hAnsi="Public Sans"/>
          <w:b/>
          <w:bCs/>
        </w:rPr>
        <w:t>ATENTAMENTE</w:t>
      </w:r>
    </w:p>
    <w:p w14:paraId="1368B72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33484A8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601A8C43" w14:textId="7781E76C" w:rsidR="00E556B6" w:rsidRPr="00CB404C" w:rsidRDefault="00E556B6" w:rsidP="00FD6EAE">
      <w:pPr>
        <w:rPr>
          <w:rFonts w:ascii="Public Sans" w:hAnsi="Public Sans"/>
          <w:b/>
        </w:rPr>
      </w:pPr>
      <w:r w:rsidRPr="00CB404C">
        <w:rPr>
          <w:rFonts w:ascii="Public Sans" w:hAnsi="Public Sans"/>
          <w:b/>
        </w:rPr>
        <w:t>(</w:t>
      </w:r>
      <w:r w:rsidRPr="00A70493">
        <w:rPr>
          <w:rFonts w:ascii="Public Sans" w:hAnsi="Public Sans"/>
          <w:b/>
          <w:highlight w:val="yellow"/>
        </w:rPr>
        <w:t>Nombre, cargo y firma del servidor público facultado</w:t>
      </w:r>
      <w:r w:rsidRPr="00CB404C">
        <w:rPr>
          <w:rFonts w:ascii="Public Sans" w:hAnsi="Public Sans"/>
          <w:b/>
        </w:rPr>
        <w:t>).</w:t>
      </w:r>
    </w:p>
    <w:p w14:paraId="5D4A9588" w14:textId="77777777" w:rsidR="00E556B6" w:rsidRPr="00CB404C" w:rsidRDefault="00E556B6" w:rsidP="00FD6EAE">
      <w:pPr>
        <w:rPr>
          <w:rFonts w:ascii="Public Sans" w:hAnsi="Public Sans"/>
          <w:b/>
        </w:rPr>
      </w:pPr>
    </w:p>
    <w:sectPr w:rsidR="00E556B6" w:rsidRPr="00CB404C" w:rsidSect="00F13C49">
      <w:headerReference w:type="default" r:id="rId9"/>
      <w:footerReference w:type="default" r:id="rId10"/>
      <w:pgSz w:w="12240" w:h="15840"/>
      <w:pgMar w:top="1560" w:right="1080" w:bottom="1440" w:left="108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88CA" w14:textId="77777777" w:rsidR="000D6CE2" w:rsidRDefault="000D6CE2" w:rsidP="009920FF">
      <w:r>
        <w:separator/>
      </w:r>
    </w:p>
  </w:endnote>
  <w:endnote w:type="continuationSeparator" w:id="0">
    <w:p w14:paraId="3F7BB50F" w14:textId="77777777" w:rsidR="000D6CE2" w:rsidRDefault="000D6CE2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188E" w14:textId="009A6CB8" w:rsidR="00C44A78" w:rsidRPr="00CD09F5" w:rsidRDefault="00A50346" w:rsidP="00CD09F5">
    <w:pPr>
      <w:pStyle w:val="Piedepgina"/>
      <w:jc w:val="right"/>
      <w:rPr>
        <w:rFonts w:ascii="Gotham Medium" w:hAnsi="Gotham Medium" w:cs="Arial"/>
        <w:color w:val="004EAA"/>
        <w:sz w:val="12"/>
        <w:szCs w:val="12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1DE385" wp14:editId="40B7CD1E">
          <wp:simplePos x="0" y="0"/>
          <wp:positionH relativeFrom="page">
            <wp:align>right</wp:align>
          </wp:positionH>
          <wp:positionV relativeFrom="paragraph">
            <wp:posOffset>-97790</wp:posOffset>
          </wp:positionV>
          <wp:extent cx="7724775" cy="784225"/>
          <wp:effectExtent l="0" t="0" r="9525" b="0"/>
          <wp:wrapNone/>
          <wp:docPr id="1635745661" name="Imagen 1635745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Página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PAGE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1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 de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NUMPAGES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2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</w:p>
  <w:p w14:paraId="270DEDD7" w14:textId="47115FF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Edificio Lic. Óscar Flores</w:t>
    </w:r>
    <w:r w:rsidR="009C2A8D" w:rsidRPr="00CD09F5">
      <w:rPr>
        <w:rFonts w:ascii="Gotham Medium" w:hAnsi="Gotham Medium" w:cs="Arial"/>
        <w:color w:val="014D9B"/>
        <w:sz w:val="12"/>
        <w:szCs w:val="12"/>
        <w:lang w:val="es-ES"/>
      </w:rPr>
      <w:t>,</w:t>
    </w:r>
  </w:p>
  <w:p w14:paraId="5C6A2819" w14:textId="4DB11CB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Calle Victoria No. 310,</w:t>
    </w:r>
  </w:p>
  <w:p w14:paraId="6F911C7F" w14:textId="7653EA9C" w:rsidR="009C2A8D" w:rsidRPr="00CD09F5" w:rsidRDefault="005E3A56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Col.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Centro; Chihuahua, Chih.</w:t>
    </w:r>
  </w:p>
  <w:p w14:paraId="491C9C2A" w14:textId="5316F658" w:rsidR="009C2A8D" w:rsidRPr="00CD09F5" w:rsidRDefault="009C2A8D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Teléfono</w:t>
    </w:r>
    <w:r w:rsidR="008F6390" w:rsidRPr="00CD09F5">
      <w:rPr>
        <w:rFonts w:ascii="Gotham Medium" w:hAnsi="Gotham Medium" w:cs="Arial"/>
        <w:color w:val="014D9B"/>
        <w:sz w:val="12"/>
        <w:szCs w:val="12"/>
        <w:lang w:val="es-ES"/>
      </w:rPr>
      <w:t>: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(614) 429-3300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</w:p>
  <w:p w14:paraId="0EB87E0D" w14:textId="77777777" w:rsidR="005F2B65" w:rsidRPr="00CD09F5" w:rsidRDefault="005F2B65" w:rsidP="005F2B65">
    <w:pPr>
      <w:pStyle w:val="Piedepgina"/>
      <w:ind w:left="3969"/>
      <w:jc w:val="right"/>
      <w:rPr>
        <w:rFonts w:ascii="Gotham Medium" w:hAnsi="Gotham Medium"/>
        <w:color w:val="014D9B"/>
        <w:sz w:val="12"/>
        <w:szCs w:val="12"/>
      </w:rPr>
    </w:pPr>
  </w:p>
  <w:p w14:paraId="55ABA41E" w14:textId="32F57C90" w:rsidR="009C2A8D" w:rsidRPr="00CD09F5" w:rsidRDefault="009C2A8D" w:rsidP="005F2B65">
    <w:pPr>
      <w:pStyle w:val="Piedepgina"/>
      <w:ind w:left="3969"/>
      <w:jc w:val="right"/>
      <w:rPr>
        <w:rFonts w:ascii="Gotham Medium" w:hAnsi="Gotham Medium"/>
        <w:b/>
        <w:bCs/>
        <w:color w:val="014D9B"/>
        <w:sz w:val="12"/>
        <w:szCs w:val="12"/>
      </w:rPr>
    </w:pPr>
    <w:r w:rsidRPr="00CD09F5">
      <w:rPr>
        <w:rFonts w:ascii="Gotham Medium" w:hAnsi="Gotham Medium"/>
        <w:b/>
        <w:bCs/>
        <w:color w:val="014D9B"/>
        <w:sz w:val="12"/>
        <w:szCs w:val="12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2C11" w14:textId="77777777" w:rsidR="000D6CE2" w:rsidRDefault="000D6CE2" w:rsidP="009920FF">
      <w:r>
        <w:separator/>
      </w:r>
    </w:p>
  </w:footnote>
  <w:footnote w:type="continuationSeparator" w:id="0">
    <w:p w14:paraId="0092CC4D" w14:textId="77777777" w:rsidR="000D6CE2" w:rsidRDefault="000D6CE2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5C3" w14:textId="560B22C7" w:rsidR="004C0C0E" w:rsidRDefault="00A50346" w:rsidP="00B37CAE">
    <w:pPr>
      <w:pStyle w:val="Encabezado"/>
      <w:ind w:firstLine="255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1FDF8" wp14:editId="4682E17F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7543800" cy="771525"/>
          <wp:effectExtent l="0" t="0" r="0" b="9525"/>
          <wp:wrapNone/>
          <wp:docPr id="1657156302" name="Imagen 165715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16C"/>
    <w:multiLevelType w:val="hybridMultilevel"/>
    <w:tmpl w:val="D8EEB3B8"/>
    <w:lvl w:ilvl="0" w:tplc="197623DA">
      <w:start w:val="1"/>
      <w:numFmt w:val="upperRoman"/>
      <w:lvlText w:val="%1."/>
      <w:lvlJc w:val="righ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E73072"/>
    <w:multiLevelType w:val="hybridMultilevel"/>
    <w:tmpl w:val="234A14DA"/>
    <w:lvl w:ilvl="0" w:tplc="A0BE48A8">
      <w:start w:val="10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25D5"/>
    <w:multiLevelType w:val="hybridMultilevel"/>
    <w:tmpl w:val="82965C5C"/>
    <w:lvl w:ilvl="0" w:tplc="9F725B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C1AC4"/>
    <w:multiLevelType w:val="hybridMultilevel"/>
    <w:tmpl w:val="5AA6E9A0"/>
    <w:lvl w:ilvl="0" w:tplc="37005606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91507B"/>
    <w:multiLevelType w:val="hybridMultilevel"/>
    <w:tmpl w:val="8EF8624A"/>
    <w:lvl w:ilvl="0" w:tplc="1C02CF56">
      <w:start w:val="30"/>
      <w:numFmt w:val="upperRoman"/>
      <w:lvlText w:val="%1."/>
      <w:lvlJc w:val="right"/>
      <w:pPr>
        <w:ind w:left="720" w:hanging="360"/>
      </w:pPr>
      <w:rPr>
        <w:b/>
        <w:bCs/>
        <w:i/>
        <w:iCs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05E"/>
    <w:multiLevelType w:val="hybridMultilevel"/>
    <w:tmpl w:val="AC84F33A"/>
    <w:lvl w:ilvl="0" w:tplc="7F66E338">
      <w:start w:val="2"/>
      <w:numFmt w:val="upperRoman"/>
      <w:lvlText w:val="%1."/>
      <w:lvlJc w:val="right"/>
      <w:pPr>
        <w:ind w:left="1352" w:hanging="360"/>
      </w:pPr>
      <w:rPr>
        <w:rFonts w:hint="default"/>
        <w:b/>
        <w:bCs/>
        <w:i/>
        <w:i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28B0206B"/>
    <w:multiLevelType w:val="hybridMultilevel"/>
    <w:tmpl w:val="1FF08B7C"/>
    <w:lvl w:ilvl="0" w:tplc="9822B9C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4226"/>
    <w:multiLevelType w:val="hybridMultilevel"/>
    <w:tmpl w:val="A546F9DC"/>
    <w:lvl w:ilvl="0" w:tplc="042AFD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636AE"/>
    <w:multiLevelType w:val="hybridMultilevel"/>
    <w:tmpl w:val="B4BE68CC"/>
    <w:lvl w:ilvl="0" w:tplc="C48E0B80">
      <w:start w:val="2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F528B"/>
    <w:multiLevelType w:val="hybridMultilevel"/>
    <w:tmpl w:val="EB02667E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16F0F84"/>
    <w:multiLevelType w:val="hybridMultilevel"/>
    <w:tmpl w:val="BF7A667C"/>
    <w:lvl w:ilvl="0" w:tplc="5F0E0E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09CA"/>
    <w:multiLevelType w:val="hybridMultilevel"/>
    <w:tmpl w:val="6206D86E"/>
    <w:lvl w:ilvl="0" w:tplc="E5720BAA">
      <w:start w:val="4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42645"/>
    <w:multiLevelType w:val="hybridMultilevel"/>
    <w:tmpl w:val="8AAA2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D3F0C"/>
    <w:multiLevelType w:val="hybridMultilevel"/>
    <w:tmpl w:val="EE804608"/>
    <w:lvl w:ilvl="0" w:tplc="FD44E696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B26A4E"/>
    <w:multiLevelType w:val="hybridMultilevel"/>
    <w:tmpl w:val="5A980922"/>
    <w:lvl w:ilvl="0" w:tplc="F118DA32">
      <w:start w:val="1"/>
      <w:numFmt w:val="decimal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77AA9"/>
    <w:multiLevelType w:val="hybridMultilevel"/>
    <w:tmpl w:val="AB9042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9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12"/>
  </w:num>
  <w:num w:numId="12">
    <w:abstractNumId w:val="8"/>
  </w:num>
  <w:num w:numId="13">
    <w:abstractNumId w:val="16"/>
  </w:num>
  <w:num w:numId="14">
    <w:abstractNumId w:val="5"/>
  </w:num>
  <w:num w:numId="15">
    <w:abstractNumId w:val="1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2E84"/>
    <w:rsid w:val="0000609E"/>
    <w:rsid w:val="000127E9"/>
    <w:rsid w:val="00013190"/>
    <w:rsid w:val="00016026"/>
    <w:rsid w:val="000165C6"/>
    <w:rsid w:val="00052F9C"/>
    <w:rsid w:val="00066CE6"/>
    <w:rsid w:val="00071873"/>
    <w:rsid w:val="0007229B"/>
    <w:rsid w:val="0007776E"/>
    <w:rsid w:val="00093EF8"/>
    <w:rsid w:val="00094B2E"/>
    <w:rsid w:val="000961CB"/>
    <w:rsid w:val="000A031D"/>
    <w:rsid w:val="000A0A20"/>
    <w:rsid w:val="000B2B9B"/>
    <w:rsid w:val="000B2BD1"/>
    <w:rsid w:val="000B72EB"/>
    <w:rsid w:val="000C59BD"/>
    <w:rsid w:val="000D079A"/>
    <w:rsid w:val="000D2E5F"/>
    <w:rsid w:val="000D6CE2"/>
    <w:rsid w:val="000E01AE"/>
    <w:rsid w:val="000F0CA1"/>
    <w:rsid w:val="00102AE2"/>
    <w:rsid w:val="00104470"/>
    <w:rsid w:val="001066CE"/>
    <w:rsid w:val="0011721C"/>
    <w:rsid w:val="00122B69"/>
    <w:rsid w:val="00125B9C"/>
    <w:rsid w:val="00126BE8"/>
    <w:rsid w:val="0013042B"/>
    <w:rsid w:val="00131729"/>
    <w:rsid w:val="00152161"/>
    <w:rsid w:val="00154BE8"/>
    <w:rsid w:val="00157F0E"/>
    <w:rsid w:val="001614DE"/>
    <w:rsid w:val="001708EE"/>
    <w:rsid w:val="00177C6D"/>
    <w:rsid w:val="0018179B"/>
    <w:rsid w:val="00197278"/>
    <w:rsid w:val="001B08EB"/>
    <w:rsid w:val="001B2F96"/>
    <w:rsid w:val="001E44D8"/>
    <w:rsid w:val="001F2127"/>
    <w:rsid w:val="002020B0"/>
    <w:rsid w:val="00202D14"/>
    <w:rsid w:val="00207401"/>
    <w:rsid w:val="00216E28"/>
    <w:rsid w:val="00230261"/>
    <w:rsid w:val="002328F9"/>
    <w:rsid w:val="00232C04"/>
    <w:rsid w:val="00241241"/>
    <w:rsid w:val="0024530D"/>
    <w:rsid w:val="0025072E"/>
    <w:rsid w:val="002512C4"/>
    <w:rsid w:val="00256A51"/>
    <w:rsid w:val="002601AE"/>
    <w:rsid w:val="00270634"/>
    <w:rsid w:val="00270E36"/>
    <w:rsid w:val="00272D84"/>
    <w:rsid w:val="002842B0"/>
    <w:rsid w:val="002A1B18"/>
    <w:rsid w:val="002A41C9"/>
    <w:rsid w:val="002A58BC"/>
    <w:rsid w:val="002A7474"/>
    <w:rsid w:val="002D6090"/>
    <w:rsid w:val="002E65B8"/>
    <w:rsid w:val="002F0361"/>
    <w:rsid w:val="002F25B2"/>
    <w:rsid w:val="00341AE4"/>
    <w:rsid w:val="00345745"/>
    <w:rsid w:val="00365944"/>
    <w:rsid w:val="00370A0A"/>
    <w:rsid w:val="00371738"/>
    <w:rsid w:val="00377F2C"/>
    <w:rsid w:val="003C193A"/>
    <w:rsid w:val="003C6346"/>
    <w:rsid w:val="003D10A4"/>
    <w:rsid w:val="003D27B0"/>
    <w:rsid w:val="003D5365"/>
    <w:rsid w:val="003D695A"/>
    <w:rsid w:val="003E5DB8"/>
    <w:rsid w:val="003E6EDC"/>
    <w:rsid w:val="003F5690"/>
    <w:rsid w:val="003F5AB7"/>
    <w:rsid w:val="00405B5E"/>
    <w:rsid w:val="00410068"/>
    <w:rsid w:val="00410FB5"/>
    <w:rsid w:val="00422C95"/>
    <w:rsid w:val="00426677"/>
    <w:rsid w:val="00426F1B"/>
    <w:rsid w:val="00437AD1"/>
    <w:rsid w:val="00473466"/>
    <w:rsid w:val="004848B7"/>
    <w:rsid w:val="00494B1D"/>
    <w:rsid w:val="00495039"/>
    <w:rsid w:val="004A1BCC"/>
    <w:rsid w:val="004B2209"/>
    <w:rsid w:val="004B362D"/>
    <w:rsid w:val="004B40E5"/>
    <w:rsid w:val="004C0429"/>
    <w:rsid w:val="004C0C0E"/>
    <w:rsid w:val="004C6748"/>
    <w:rsid w:val="004D1222"/>
    <w:rsid w:val="004E1B5D"/>
    <w:rsid w:val="004E6B9A"/>
    <w:rsid w:val="004F1E06"/>
    <w:rsid w:val="005160D5"/>
    <w:rsid w:val="00530DC9"/>
    <w:rsid w:val="00535A5A"/>
    <w:rsid w:val="00540CDD"/>
    <w:rsid w:val="00543510"/>
    <w:rsid w:val="00576DF1"/>
    <w:rsid w:val="0058196C"/>
    <w:rsid w:val="005828AA"/>
    <w:rsid w:val="0059466C"/>
    <w:rsid w:val="005A16B4"/>
    <w:rsid w:val="005A23EA"/>
    <w:rsid w:val="005A7A28"/>
    <w:rsid w:val="005C1217"/>
    <w:rsid w:val="005C1660"/>
    <w:rsid w:val="005C66BB"/>
    <w:rsid w:val="005C70C6"/>
    <w:rsid w:val="005E0F56"/>
    <w:rsid w:val="005E3A56"/>
    <w:rsid w:val="005F2B65"/>
    <w:rsid w:val="005F508A"/>
    <w:rsid w:val="00602C72"/>
    <w:rsid w:val="00602FAD"/>
    <w:rsid w:val="006072A2"/>
    <w:rsid w:val="0061296D"/>
    <w:rsid w:val="00616856"/>
    <w:rsid w:val="006348C5"/>
    <w:rsid w:val="006464FA"/>
    <w:rsid w:val="00646BD1"/>
    <w:rsid w:val="0065382C"/>
    <w:rsid w:val="0067612B"/>
    <w:rsid w:val="0068088C"/>
    <w:rsid w:val="00683AF5"/>
    <w:rsid w:val="00693D3E"/>
    <w:rsid w:val="006B27D2"/>
    <w:rsid w:val="006C76AE"/>
    <w:rsid w:val="006E0297"/>
    <w:rsid w:val="006F7278"/>
    <w:rsid w:val="007038FF"/>
    <w:rsid w:val="0071220B"/>
    <w:rsid w:val="0072190A"/>
    <w:rsid w:val="00725430"/>
    <w:rsid w:val="007271D9"/>
    <w:rsid w:val="0073027E"/>
    <w:rsid w:val="00732A07"/>
    <w:rsid w:val="007574C1"/>
    <w:rsid w:val="0076207B"/>
    <w:rsid w:val="007652A5"/>
    <w:rsid w:val="00765DF8"/>
    <w:rsid w:val="00770A00"/>
    <w:rsid w:val="00776962"/>
    <w:rsid w:val="00786A5E"/>
    <w:rsid w:val="007A02DF"/>
    <w:rsid w:val="007A57A0"/>
    <w:rsid w:val="007B6510"/>
    <w:rsid w:val="007C0971"/>
    <w:rsid w:val="007D0BCA"/>
    <w:rsid w:val="007D319F"/>
    <w:rsid w:val="007F32BB"/>
    <w:rsid w:val="00800020"/>
    <w:rsid w:val="00800CD0"/>
    <w:rsid w:val="00806E92"/>
    <w:rsid w:val="0080727B"/>
    <w:rsid w:val="00812064"/>
    <w:rsid w:val="00824B95"/>
    <w:rsid w:val="008310EB"/>
    <w:rsid w:val="00841353"/>
    <w:rsid w:val="00857C12"/>
    <w:rsid w:val="00864530"/>
    <w:rsid w:val="008724E1"/>
    <w:rsid w:val="008868A2"/>
    <w:rsid w:val="00887C6B"/>
    <w:rsid w:val="008A27CD"/>
    <w:rsid w:val="008A688A"/>
    <w:rsid w:val="008C3963"/>
    <w:rsid w:val="008C6C6E"/>
    <w:rsid w:val="008D3484"/>
    <w:rsid w:val="008D5199"/>
    <w:rsid w:val="008D5410"/>
    <w:rsid w:val="008E075A"/>
    <w:rsid w:val="008E4CF8"/>
    <w:rsid w:val="008F6390"/>
    <w:rsid w:val="00900DAF"/>
    <w:rsid w:val="009025C1"/>
    <w:rsid w:val="0091005A"/>
    <w:rsid w:val="00910AD5"/>
    <w:rsid w:val="00914174"/>
    <w:rsid w:val="00945A74"/>
    <w:rsid w:val="00951CA3"/>
    <w:rsid w:val="009662A9"/>
    <w:rsid w:val="009920FF"/>
    <w:rsid w:val="00992DA4"/>
    <w:rsid w:val="00994D1B"/>
    <w:rsid w:val="009A1861"/>
    <w:rsid w:val="009A479B"/>
    <w:rsid w:val="009B7082"/>
    <w:rsid w:val="009C2A8D"/>
    <w:rsid w:val="009D3C5F"/>
    <w:rsid w:val="009D4491"/>
    <w:rsid w:val="009E5A04"/>
    <w:rsid w:val="009F0597"/>
    <w:rsid w:val="009F47A3"/>
    <w:rsid w:val="00A073B3"/>
    <w:rsid w:val="00A145C6"/>
    <w:rsid w:val="00A27837"/>
    <w:rsid w:val="00A4714B"/>
    <w:rsid w:val="00A50346"/>
    <w:rsid w:val="00A52065"/>
    <w:rsid w:val="00A65219"/>
    <w:rsid w:val="00A70493"/>
    <w:rsid w:val="00A73DA9"/>
    <w:rsid w:val="00A747A5"/>
    <w:rsid w:val="00A851B7"/>
    <w:rsid w:val="00A9607E"/>
    <w:rsid w:val="00AB1ADE"/>
    <w:rsid w:val="00AB2EEF"/>
    <w:rsid w:val="00AB5E38"/>
    <w:rsid w:val="00AB61C0"/>
    <w:rsid w:val="00AC7E49"/>
    <w:rsid w:val="00AD4503"/>
    <w:rsid w:val="00AE3ABF"/>
    <w:rsid w:val="00AF763B"/>
    <w:rsid w:val="00B22530"/>
    <w:rsid w:val="00B241FB"/>
    <w:rsid w:val="00B37CAE"/>
    <w:rsid w:val="00B47E1C"/>
    <w:rsid w:val="00B636C1"/>
    <w:rsid w:val="00B65DEF"/>
    <w:rsid w:val="00B70319"/>
    <w:rsid w:val="00B7058B"/>
    <w:rsid w:val="00B708C9"/>
    <w:rsid w:val="00B832FA"/>
    <w:rsid w:val="00B85F27"/>
    <w:rsid w:val="00B90AF2"/>
    <w:rsid w:val="00B93112"/>
    <w:rsid w:val="00BA254D"/>
    <w:rsid w:val="00BB7C4A"/>
    <w:rsid w:val="00BC0CF6"/>
    <w:rsid w:val="00BC6359"/>
    <w:rsid w:val="00BE5690"/>
    <w:rsid w:val="00BF3692"/>
    <w:rsid w:val="00C006FB"/>
    <w:rsid w:val="00C017AA"/>
    <w:rsid w:val="00C0481C"/>
    <w:rsid w:val="00C10DAA"/>
    <w:rsid w:val="00C1529F"/>
    <w:rsid w:val="00C15F62"/>
    <w:rsid w:val="00C21DE1"/>
    <w:rsid w:val="00C2295E"/>
    <w:rsid w:val="00C2296D"/>
    <w:rsid w:val="00C31FEE"/>
    <w:rsid w:val="00C44A78"/>
    <w:rsid w:val="00C473A9"/>
    <w:rsid w:val="00C50533"/>
    <w:rsid w:val="00C50B3B"/>
    <w:rsid w:val="00C50BB3"/>
    <w:rsid w:val="00C51F1E"/>
    <w:rsid w:val="00C54EE5"/>
    <w:rsid w:val="00C60576"/>
    <w:rsid w:val="00C75360"/>
    <w:rsid w:val="00C77327"/>
    <w:rsid w:val="00C9025C"/>
    <w:rsid w:val="00CA6602"/>
    <w:rsid w:val="00CB404C"/>
    <w:rsid w:val="00CB5678"/>
    <w:rsid w:val="00CC2AF1"/>
    <w:rsid w:val="00CC3640"/>
    <w:rsid w:val="00CC398E"/>
    <w:rsid w:val="00CD09F5"/>
    <w:rsid w:val="00CD2A61"/>
    <w:rsid w:val="00CD783D"/>
    <w:rsid w:val="00CF2772"/>
    <w:rsid w:val="00D06D3D"/>
    <w:rsid w:val="00D15C31"/>
    <w:rsid w:val="00D24DE1"/>
    <w:rsid w:val="00D42A4D"/>
    <w:rsid w:val="00D43E50"/>
    <w:rsid w:val="00D44245"/>
    <w:rsid w:val="00D5308C"/>
    <w:rsid w:val="00D55A66"/>
    <w:rsid w:val="00D560FD"/>
    <w:rsid w:val="00D7498D"/>
    <w:rsid w:val="00D81A15"/>
    <w:rsid w:val="00D837AE"/>
    <w:rsid w:val="00D84941"/>
    <w:rsid w:val="00D858F2"/>
    <w:rsid w:val="00DA30CF"/>
    <w:rsid w:val="00DA6CEE"/>
    <w:rsid w:val="00DB7F56"/>
    <w:rsid w:val="00DC4EBD"/>
    <w:rsid w:val="00DC7DF7"/>
    <w:rsid w:val="00DD3846"/>
    <w:rsid w:val="00DD7B88"/>
    <w:rsid w:val="00DF016D"/>
    <w:rsid w:val="00DF14D9"/>
    <w:rsid w:val="00DF65E3"/>
    <w:rsid w:val="00E04663"/>
    <w:rsid w:val="00E05172"/>
    <w:rsid w:val="00E16D16"/>
    <w:rsid w:val="00E1794D"/>
    <w:rsid w:val="00E216CA"/>
    <w:rsid w:val="00E227B3"/>
    <w:rsid w:val="00E556B6"/>
    <w:rsid w:val="00E56BCF"/>
    <w:rsid w:val="00E7568A"/>
    <w:rsid w:val="00E7581D"/>
    <w:rsid w:val="00E81718"/>
    <w:rsid w:val="00E87022"/>
    <w:rsid w:val="00E900E9"/>
    <w:rsid w:val="00E96D0C"/>
    <w:rsid w:val="00EA099D"/>
    <w:rsid w:val="00EA5AD4"/>
    <w:rsid w:val="00EA71BB"/>
    <w:rsid w:val="00EB6B5D"/>
    <w:rsid w:val="00EC2874"/>
    <w:rsid w:val="00EC469F"/>
    <w:rsid w:val="00EC4F79"/>
    <w:rsid w:val="00EC5871"/>
    <w:rsid w:val="00ED422C"/>
    <w:rsid w:val="00ED5FC6"/>
    <w:rsid w:val="00ED6D29"/>
    <w:rsid w:val="00EE042F"/>
    <w:rsid w:val="00EF2CA8"/>
    <w:rsid w:val="00F03F11"/>
    <w:rsid w:val="00F07C46"/>
    <w:rsid w:val="00F10D65"/>
    <w:rsid w:val="00F13C49"/>
    <w:rsid w:val="00F17EE6"/>
    <w:rsid w:val="00F27334"/>
    <w:rsid w:val="00F4397B"/>
    <w:rsid w:val="00F547D6"/>
    <w:rsid w:val="00F60B14"/>
    <w:rsid w:val="00F61085"/>
    <w:rsid w:val="00F650A6"/>
    <w:rsid w:val="00F71C65"/>
    <w:rsid w:val="00F90A6D"/>
    <w:rsid w:val="00F934C9"/>
    <w:rsid w:val="00FA0160"/>
    <w:rsid w:val="00FA0513"/>
    <w:rsid w:val="00FA2C65"/>
    <w:rsid w:val="00FB24A4"/>
    <w:rsid w:val="00FB35A9"/>
    <w:rsid w:val="00FD2C4B"/>
    <w:rsid w:val="00FD6EAE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1D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179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9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794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C6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cipiochihuahua.gob.mx/SHA/Normativ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CC58F-2288-4EE5-85B3-68C0C16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858</Words>
  <Characters>4721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 Flores Avila</cp:lastModifiedBy>
  <cp:revision>2</cp:revision>
  <cp:lastPrinted>2025-03-14T19:23:00Z</cp:lastPrinted>
  <dcterms:created xsi:type="dcterms:W3CDTF">2025-06-06T17:14:00Z</dcterms:created>
  <dcterms:modified xsi:type="dcterms:W3CDTF">2025-06-06T17:14:00Z</dcterms:modified>
</cp:coreProperties>
</file>